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785FA445" w:rsidR="00002DF3" w:rsidRPr="00002DF3" w:rsidRDefault="00574909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909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Бизнес-анализ</w:t>
      </w:r>
    </w:p>
    <w:p w14:paraId="05855C44" w14:textId="0568C9FD" w:rsidR="002010E9" w:rsidRDefault="00002DF3" w:rsidP="0057490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4909" w:rsidRPr="00574909">
        <w:rPr>
          <w:rFonts w:ascii="Times New Roman" w:eastAsia="Times New Roman" w:hAnsi="Times New Roman" w:cs="Times New Roman"/>
          <w:sz w:val="28"/>
          <w:szCs w:val="28"/>
        </w:rPr>
        <w:t>Бизнес-анализ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574909">
        <w:rPr>
          <w:rFonts w:ascii="Times New Roman" w:hAnsi="Times New Roman" w:cs="Times New Roman"/>
          <w:sz w:val="28"/>
        </w:rPr>
        <w:t xml:space="preserve">навыков </w:t>
      </w:r>
      <w:r w:rsidR="00574909" w:rsidRPr="00574909">
        <w:rPr>
          <w:rFonts w:ascii="Times New Roman" w:hAnsi="Times New Roman" w:cs="Times New Roman"/>
          <w:sz w:val="28"/>
        </w:rPr>
        <w:t>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 управленческие решения</w:t>
      </w:r>
      <w:r w:rsidR="002010E9" w:rsidRPr="002010E9">
        <w:rPr>
          <w:rFonts w:ascii="Times New Roman" w:hAnsi="Times New Roman" w:cs="Times New Roman"/>
          <w:sz w:val="28"/>
        </w:rPr>
        <w:t xml:space="preserve">. 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1EB8636C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74909" w:rsidRPr="00574909">
        <w:rPr>
          <w:rFonts w:ascii="Times New Roman" w:eastAsia="Times New Roman" w:hAnsi="Times New Roman" w:cs="Times New Roman"/>
          <w:sz w:val="28"/>
          <w:szCs w:val="28"/>
        </w:rPr>
        <w:t>Бизнес-анализ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0C4236CC" w:rsidR="00002DF3" w:rsidRPr="00002DF3" w:rsidRDefault="00574909" w:rsidP="00335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09">
        <w:rPr>
          <w:rFonts w:ascii="Times New Roman" w:eastAsia="Times New Roman" w:hAnsi="Times New Roman" w:cs="Times New Roman"/>
          <w:sz w:val="28"/>
          <w:szCs w:val="28"/>
        </w:rPr>
        <w:t>Концептуальные основы финансового анализа. Анализ сбалансированности ресурсного потенциала и источников финансирования. Анализ результативности деятельности организации. Тактический анализ состояния капитала организации и сбалансированности ее денежных потоков. Финансовый анализ в обеспечении деятельности организации. Теоретические основы бизнес-анализа. Сущность бизнес – анализа, его предмет, метод и задачи. Особенности формирования информационной базы бизнес – анализа. Методический инструментарий бизнес – анализа. Роль бизнес – анализа в обеспечении инновационного и устойчивого развития.</w:t>
      </w:r>
    </w:p>
    <w:p w14:paraId="57484301" w14:textId="77777777" w:rsidR="0050702F" w:rsidRDefault="0057490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28BC0-ACEF-42E3-8A05-F4005B737898}"/>
</file>

<file path=customXml/itemProps2.xml><?xml version="1.0" encoding="utf-8"?>
<ds:datastoreItem xmlns:ds="http://schemas.openxmlformats.org/officeDocument/2006/customXml" ds:itemID="{7073B83E-9192-4E1B-A66A-2B4CC87739DF}"/>
</file>

<file path=customXml/itemProps3.xml><?xml version="1.0" encoding="utf-8"?>
<ds:datastoreItem xmlns:ds="http://schemas.openxmlformats.org/officeDocument/2006/customXml" ds:itemID="{DD58A703-0826-4D24-95EA-010DFE750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10</cp:revision>
  <dcterms:created xsi:type="dcterms:W3CDTF">2018-03-26T13:37:00Z</dcterms:created>
  <dcterms:modified xsi:type="dcterms:W3CDTF">2021-06-02T19:21:00Z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